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2-2451</w:t>
      </w:r>
      <w:r>
        <w:rPr>
          <w:rFonts w:ascii="Times New Roman" w:eastAsia="Times New Roman" w:hAnsi="Times New Roman" w:cs="Times New Roman"/>
          <w:sz w:val="22"/>
          <w:szCs w:val="22"/>
        </w:rPr>
        <w:t>-2602/26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</w:t>
      </w:r>
      <w:r>
        <w:rPr>
          <w:rStyle w:val="cat-PhoneNumbergrp-11rplc-0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Style w:val="cat-PhoneNumbergrp-12rplc-1"/>
          <w:rFonts w:ascii="Times New Roman" w:eastAsia="Times New Roman" w:hAnsi="Times New Roman" w:cs="Times New Roman"/>
          <w:sz w:val="20"/>
          <w:szCs w:val="20"/>
        </w:rPr>
        <w:t>телефон</w:t>
      </w:r>
      <w:r>
        <w:rPr>
          <w:rFonts w:ascii="Times New Roman" w:eastAsia="Times New Roman" w:hAnsi="Times New Roman" w:cs="Times New Roman"/>
          <w:sz w:val="20"/>
          <w:szCs w:val="20"/>
        </w:rPr>
        <w:t>-02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июня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округа-Югры Бордунов М.Б.,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Заминат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Загиддиновне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167, 194, 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Заминат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Загиддиновне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Заминат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Загиддиновны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СНИЛС </w:t>
      </w:r>
      <w:r>
        <w:rPr>
          <w:rStyle w:val="cat-PhoneNumbergrp-13rplc-5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пользу Югорского фонда капитального ремонта многоквартирных домов, ИНН </w:t>
      </w:r>
      <w:r>
        <w:rPr>
          <w:rStyle w:val="cat-PhoneNumbergrp-14rplc-6"/>
          <w:rFonts w:ascii="Times New Roman" w:eastAsia="Times New Roman" w:hAnsi="Times New Roman" w:cs="Times New Roman"/>
          <w:sz w:val="28"/>
          <w:szCs w:val="28"/>
        </w:rPr>
        <w:t>телефон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по оплате взносов на капитальный ремонт за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01.04.2023 по 30.06.2025 в размере 7 164 рубля 52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пени за период с 11.05.2023 по 30.05.2025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 751 рубль 77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копеек, </w:t>
      </w:r>
      <w:r>
        <w:rPr>
          <w:rFonts w:ascii="Times New Roman" w:eastAsia="Times New Roman" w:hAnsi="Times New Roman" w:cs="Times New Roman"/>
          <w:sz w:val="28"/>
          <w:szCs w:val="28"/>
        </w:rPr>
        <w:t>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>00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остальной части в удовлетворении исковых требований Югорского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Фатаховой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Заминат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Загиддиновне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применением срока исковой давности.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сторонам, что заявление о составлении мотивированного решения суда может быть подано в течение трёх дней со дня объявления резолютивной части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месяца со дня принятия решения суда в окончательной форме, путем подачи апелляционной жалобы через миров</w:t>
      </w:r>
      <w:r>
        <w:rPr>
          <w:rFonts w:ascii="Times New Roman" w:eastAsia="Times New Roman" w:hAnsi="Times New Roman" w:cs="Times New Roman"/>
          <w:sz w:val="28"/>
          <w:szCs w:val="28"/>
        </w:rPr>
        <w:t>ого судью судебного участка №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>города окружного значения Сургут</w:t>
      </w:r>
      <w:r>
        <w:rPr>
          <w:rFonts w:ascii="Times New Roman" w:eastAsia="Times New Roman" w:hAnsi="Times New Roman" w:cs="Times New Roman"/>
          <w:sz w:val="28"/>
          <w:szCs w:val="28"/>
        </w:rPr>
        <w:t>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М.Б. Бордунов </w:t>
      </w: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 22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июня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2-2451</w:t>
      </w:r>
      <w:r>
        <w:rPr>
          <w:rFonts w:ascii="Times New Roman" w:eastAsia="Times New Roman" w:hAnsi="Times New Roman" w:cs="Times New Roman"/>
          <w:sz w:val="20"/>
          <w:szCs w:val="20"/>
        </w:rPr>
        <w:t>-2602/26</w:t>
      </w:r>
    </w:p>
    <w:p>
      <w:pPr>
        <w:spacing w:before="0" w:after="160" w:line="259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honeNumbergrp-11rplc-0">
    <w:name w:val="cat-PhoneNumber grp-11 rplc-0"/>
    <w:basedOn w:val="DefaultParagraphFont"/>
  </w:style>
  <w:style w:type="character" w:customStyle="1" w:styleId="cat-PhoneNumbergrp-12rplc-1">
    <w:name w:val="cat-PhoneNumber grp-12 rplc-1"/>
    <w:basedOn w:val="DefaultParagraphFont"/>
  </w:style>
  <w:style w:type="character" w:customStyle="1" w:styleId="cat-PhoneNumbergrp-13rplc-5">
    <w:name w:val="cat-PhoneNumber grp-13 rplc-5"/>
    <w:basedOn w:val="DefaultParagraphFont"/>
  </w:style>
  <w:style w:type="character" w:customStyle="1" w:styleId="cat-PhoneNumbergrp-14rplc-6">
    <w:name w:val="cat-PhoneNumber grp-14 rplc-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